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32"/>
          <w:szCs w:val="32"/>
        </w:rPr>
      </w:pPr>
      <w:r>
        <w:rPr>
          <w:b/>
          <w:bCs/>
          <w:sz w:val="32"/>
          <w:szCs w:val="32"/>
        </w:rPr>
        <mc:AlternateContent>
          <mc:Choice Requires="wps">
            <w:drawing>
              <wp:anchor behindDoc="0" distT="6985" distB="5715" distL="6985" distR="5715" simplePos="0" locked="0" layoutInCell="0" allowOverlap="1" relativeHeight="2" wp14:anchorId="03E512CA">
                <wp:simplePos x="0" y="0"/>
                <wp:positionH relativeFrom="margin">
                  <wp:align>right</wp:align>
                </wp:positionH>
                <wp:positionV relativeFrom="paragraph">
                  <wp:posOffset>19050</wp:posOffset>
                </wp:positionV>
                <wp:extent cx="6040755" cy="78105"/>
                <wp:effectExtent l="6985" t="6985" r="5715" b="5715"/>
                <wp:wrapNone/>
                <wp:docPr id="1" name="Rektangel 1"/>
                <a:graphic xmlns:a="http://schemas.openxmlformats.org/drawingml/2006/main">
                  <a:graphicData uri="http://schemas.microsoft.com/office/word/2010/wordprocessingShape">
                    <wps:wsp>
                      <wps:cNvSpPr/>
                      <wps:spPr>
                        <a:xfrm>
                          <a:off x="0" y="0"/>
                          <a:ext cx="6040800" cy="78120"/>
                        </a:xfrm>
                        <a:prstGeom prst="rect">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ktangel 1" path="m0,0l-2147483645,0l-2147483645,-2147483646l0,-2147483646xe" fillcolor="#5b9bd5" stroked="t" o:allowincell="f" style="position:absolute;margin-left:5.75pt;margin-top:1.5pt;width:475.6pt;height:6.1pt;mso-wrap-style:none;v-text-anchor:middle;mso-position-horizontal:right;mso-position-horizontal-relative:margin" wp14:anchorId="03E512CA">
                <v:fill o:detectmouseclick="t" type="solid" color2="#a4642a"/>
                <v:stroke color="#43729d" weight="12600" joinstyle="miter" endcap="flat"/>
                <w10:wrap type="none"/>
              </v:rect>
            </w:pict>
          </mc:Fallback>
        </mc:AlternateContent>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Hvem er vi:</w:t>
      </w:r>
    </w:p>
    <w:p>
      <w:pPr>
        <w:pStyle w:val="Normal"/>
        <w:ind w:left="360" w:hanging="0"/>
        <w:jc w:val="both"/>
        <w:rPr/>
      </w:pPr>
      <w:r>
        <w:rPr>
          <w:rFonts w:ascii="Calibri" w:hAnsi="Calibri" w:asciiTheme="minorHAnsi" w:hAnsiTheme="minorHAnsi"/>
          <w:bCs/>
        </w:rPr>
        <w:t>Skulder-albuesektoren består af 3 overlæger og 1 afdelingslæge. Vi varetager elektiv hovedfunktionskirurgi og regionsfunktionskirurgi. Derud over er sektoren ansvarlig for akutte skulder og albue patienter i alle aldre.</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kan du forvente af os:</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4 uger inden dit ophold, holder vi et møde, hvor vi gennemgår detaljerne omkring dit ophold.</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Du skal være hos os i 6 måneder.</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At vi deler vores viden og erfaringer med dig</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Du bliver introduceret til muskuloskeletal ultralyd</w:t>
      </w:r>
    </w:p>
    <w:p>
      <w:pPr>
        <w:pStyle w:val="ListParagraph"/>
        <w:numPr>
          <w:ilvl w:val="0"/>
          <w:numId w:val="1"/>
        </w:numPr>
        <w:jc w:val="both"/>
        <w:rPr/>
      </w:pPr>
      <w:r>
        <w:rPr>
          <w:rFonts w:ascii="Calibri" w:hAnsi="Calibri" w:asciiTheme="minorHAnsi" w:hAnsiTheme="minorHAnsi"/>
          <w:bCs/>
        </w:rPr>
        <w:t>At du indgår som fuldt medlem af skuldersektoren</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At du opnår de kompetencer der er angivet i målbeskrivelsen</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To dage om ugen deltager i afdelingens drift med stuegang og vagtarbejde. Det vil være naturligt om du tager ansvaret for de akutte skuldre og akutte albuer der kommer i vagterne</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Der vil altid være en speciallæge fra sektoren ved siden af dig som supervisor</w:t>
      </w:r>
    </w:p>
    <w:p>
      <w:pPr>
        <w:pStyle w:val="ListParagraph"/>
        <w:numPr>
          <w:ilvl w:val="0"/>
          <w:numId w:val="1"/>
        </w:numPr>
        <w:jc w:val="both"/>
        <w:rPr>
          <w:rFonts w:ascii="Calibri" w:hAnsi="Calibri" w:asciiTheme="minorHAnsi" w:hAnsiTheme="minorHAnsi"/>
          <w:bCs/>
        </w:rPr>
      </w:pPr>
      <w:r>
        <w:rPr>
          <w:bCs/>
        </w:rPr>
        <w:t>A</w:t>
      </w:r>
      <w:r>
        <w:rPr>
          <w:rFonts w:cs="Tahoma" w:ascii="Calibri" w:hAnsi="Calibri" w:asciiTheme="minorHAnsi" w:hAnsiTheme="minorHAnsi"/>
          <w:color w:val="000000"/>
        </w:rPr>
        <w:t>ktiv deltagelse i forskningsprojekter inden for sektoren tilbydes.</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forventer vi af dig?</w:t>
      </w:r>
    </w:p>
    <w:p>
      <w:pPr>
        <w:pStyle w:val="Normal"/>
        <w:ind w:left="360" w:hanging="0"/>
        <w:jc w:val="both"/>
        <w:rPr/>
      </w:pPr>
      <w:r>
        <w:rPr>
          <w:rFonts w:ascii="Calibri" w:hAnsi="Calibri" w:asciiTheme="minorHAnsi" w:hAnsiTheme="minorHAnsi"/>
          <w:bCs/>
        </w:rPr>
        <w:t xml:space="preserve">At du har sat dig ind i skulder og albue anatomi. At du læser: </w:t>
      </w:r>
      <w:hyperlink r:id="rId2">
        <w:r>
          <w:rPr>
            <w:rStyle w:val="Hyperlink"/>
            <w:rFonts w:ascii="Calibri" w:hAnsi="Calibri" w:asciiTheme="minorHAnsi" w:hAnsiTheme="minorHAnsi"/>
            <w:bCs/>
          </w:rPr>
          <w:t>Skulderkompendium af Klaus Bak</w:t>
        </w:r>
      </w:hyperlink>
      <w:r>
        <w:rPr>
          <w:rFonts w:ascii="Calibri" w:hAnsi="Calibri" w:asciiTheme="minorHAnsi" w:hAnsiTheme="minorHAnsi"/>
          <w:bCs/>
        </w:rPr>
        <w:t>.</w:t>
      </w:r>
    </w:p>
    <w:p>
      <w:pPr>
        <w:pStyle w:val="Normal"/>
        <w:ind w:left="360" w:hanging="0"/>
        <w:jc w:val="both"/>
        <w:rPr/>
      </w:pPr>
      <w:r>
        <w:rPr>
          <w:rFonts w:ascii="Calibri" w:hAnsi="Calibri" w:asciiTheme="minorHAnsi" w:hAnsiTheme="minorHAnsi"/>
          <w:bCs/>
        </w:rPr>
        <w:t>Du gennemlæser afsnittet om skulder og albue, i Sneppens bog Ortopædkirurgi.</w:t>
      </w:r>
    </w:p>
    <w:p>
      <w:pPr>
        <w:pStyle w:val="Normal"/>
        <w:ind w:left="360" w:hanging="0"/>
        <w:jc w:val="both"/>
        <w:rPr/>
      </w:pPr>
      <w:r>
        <w:rPr>
          <w:rFonts w:ascii="Calibri" w:hAnsi="Calibri" w:asciiTheme="minorHAnsi" w:hAnsiTheme="minorHAnsi"/>
          <w:bCs/>
        </w:rPr>
        <w:t xml:space="preserve">Læse SST's vejledning: </w:t>
      </w:r>
      <w:hyperlink r:id="rId3">
        <w:r>
          <w:rPr>
            <w:rStyle w:val="Hyperlink"/>
            <w:rFonts w:ascii="Calibri" w:hAnsi="Calibri" w:asciiTheme="minorHAnsi" w:hAnsiTheme="minorHAnsi"/>
            <w:bCs/>
          </w:rPr>
          <w:t>NATIONAL KLINISK RETNINGSLINJE FOR DIAGNOSTIK OG BEHANDLING AF PATIENTER MED UDVALGTE SKULDERLIDELSER</w:t>
        </w:r>
      </w:hyperlink>
      <w:r>
        <w:rPr>
          <w:rFonts w:ascii="Calibri" w:hAnsi="Calibri" w:asciiTheme="minorHAnsi" w:hAnsiTheme="minorHAnsi"/>
          <w:bCs/>
        </w:rPr>
        <w:t xml:space="preserve"> </w:t>
      </w:r>
    </w:p>
    <w:p>
      <w:pPr>
        <w:pStyle w:val="Normal"/>
        <w:ind w:left="360" w:hanging="0"/>
        <w:jc w:val="both"/>
        <w:rPr/>
      </w:pPr>
      <w:r>
        <w:rPr>
          <w:rFonts w:cs="Tahoma" w:ascii="Calibri" w:hAnsi="Calibri" w:asciiTheme="minorHAnsi" w:hAnsiTheme="minorHAnsi"/>
          <w:color w:val="000000"/>
        </w:rPr>
        <w:t>At du har sat dig ind i behandlingsvejledningerne i E-Dok.</w:t>
      </w:r>
    </w:p>
    <w:p>
      <w:pPr>
        <w:pStyle w:val="Normal"/>
        <w:ind w:left="360" w:hanging="0"/>
        <w:jc w:val="both"/>
        <w:rPr>
          <w:rFonts w:ascii="Calibri" w:hAnsi="Calibri" w:cs="Tahoma" w:asciiTheme="minorHAnsi" w:hAnsiTheme="minorHAnsi"/>
          <w:color w:val="000000"/>
        </w:rPr>
      </w:pPr>
      <w:r>
        <w:rPr>
          <w:rFonts w:cs="Tahoma" w:ascii="Calibri" w:hAnsi="Calibri" w:asciiTheme="minorHAnsi" w:hAnsiTheme="minorHAnsi"/>
          <w:color w:val="000000"/>
        </w:rPr>
        <w:t xml:space="preserve">Det forventes at du holder dig orienteret om den forskning der foregår i sektoren. At du tager aktivt del i afviklingen i det omfang det er påkrævet. </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Dine opgaver:</w:t>
      </w:r>
    </w:p>
    <w:p>
      <w:pPr>
        <w:pStyle w:val="Normal"/>
        <w:ind w:left="360" w:hanging="0"/>
        <w:jc w:val="both"/>
        <w:rPr>
          <w:rFonts w:ascii="Calibri" w:hAnsi="Calibri" w:asciiTheme="minorHAnsi" w:hAnsiTheme="minorHAnsi"/>
          <w:bCs/>
        </w:rPr>
      </w:pPr>
      <w:r>
        <w:rPr>
          <w:rFonts w:ascii="Calibri" w:hAnsi="Calibri" w:asciiTheme="minorHAnsi" w:hAnsiTheme="minorHAnsi"/>
          <w:bCs/>
        </w:rPr>
        <w:t>Du skal være den primære tovholder på de akutte skulder og albue patienter. Det indebærer at du skal være med til at stille indikation, finde en operationstid, kontakte og informerer patienten, journalføre alle oplysninger og beslutninger, aftale med operationsgangen. Du skal deltage i operationerne, først som assistent, men også i et vist omfang som operatør.</w:t>
      </w:r>
    </w:p>
    <w:p>
      <w:pPr>
        <w:pStyle w:val="Normal"/>
        <w:ind w:left="360" w:hanging="0"/>
        <w:jc w:val="both"/>
        <w:rPr/>
      </w:pPr>
      <w:r>
        <w:rPr>
          <w:rFonts w:ascii="Calibri" w:hAnsi="Calibri" w:asciiTheme="minorHAnsi" w:hAnsiTheme="minorHAnsi"/>
          <w:bCs/>
        </w:rPr>
        <w:t>Du skal være afdelingens primære kontakt til Skulder-albue sektoren.</w:t>
      </w:r>
    </w:p>
    <w:p>
      <w:pPr>
        <w:pStyle w:val="Normal"/>
        <w:ind w:left="360" w:hanging="0"/>
        <w:jc w:val="both"/>
        <w:rPr>
          <w:rFonts w:ascii="Calibri" w:hAnsi="Calibri" w:asciiTheme="minorHAnsi" w:hAnsiTheme="minorHAnsi"/>
          <w:bCs/>
        </w:rPr>
      </w:pPr>
      <w:r>
        <w:rPr>
          <w:rFonts w:ascii="Calibri" w:hAnsi="Calibri" w:asciiTheme="minorHAnsi" w:hAnsiTheme="minorHAnsi"/>
          <w:bCs/>
        </w:rPr>
        <w:t>I ambulatoriet skal du forundersøge alle typer af skulder og albue patienter. Du skal efterundersøge de patienter som tidligere HU-læger har forundersøgt og behandlet. Du skal efterundersøge dine egne patienter.</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skal du nå:</w:t>
      </w:r>
    </w:p>
    <w:p>
      <w:pPr>
        <w:pStyle w:val="Normal"/>
        <w:ind w:left="360" w:hanging="0"/>
        <w:jc w:val="both"/>
        <w:rPr/>
      </w:pPr>
      <w:r>
        <w:rPr>
          <w:rFonts w:ascii="Calibri" w:hAnsi="Calibri" w:asciiTheme="minorHAnsi" w:hAnsiTheme="minorHAnsi"/>
          <w:bCs/>
        </w:rPr>
        <w:t>Du skal efter de seks måneder have opnået de relevante kompetencer der er beskrevet i målbeskrivelsen, og gerne have et fundamentalt kendskab til diagnostik og behandling af skulder og albue lidelser.</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pPr>
      <w:r>
        <w:rPr>
          <w:rFonts w:ascii="Calibri" w:hAnsi="Calibri" w:asciiTheme="minorHAnsi" w:hAnsiTheme="minorHAnsi"/>
          <w:bCs/>
        </w:rPr>
        <w:t>Mvh Skulder- &amp; Albuesektoren, HE Midt, Viborg</w:t>
      </w:r>
    </w:p>
    <w:sectPr>
      <w:headerReference w:type="default" r:id="rId4"/>
      <w:footerReference w:type="default" r:id="rId5"/>
      <w:type w:val="nextPage"/>
      <w:pgSz w:w="11906" w:h="16838"/>
      <w:pgMar w:left="1134" w:right="1134" w:gutter="0" w:header="708" w:top="1701" w:footer="708"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Verdana">
    <w:charset w:val="01"/>
    <w:family w:val="swiss"/>
    <w:pitch w:val="default"/>
  </w:font>
  <w:font w:name="Calibri">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tabs>
        <w:tab w:val="left" w:pos="1980" w:leader="none"/>
        <w:tab w:val="center" w:pos="4819" w:leader="none"/>
        <w:tab w:val="right" w:pos="9638" w:leader="none"/>
      </w:tabs>
      <w:rPr/>
    </w:pPr>
    <w:r>
      <w:rPr/>
      <w:t>Sektoransvarlig Overlæge Srdjan Zivanovic</w:t>
    </w:r>
  </w:p>
  <w:p>
    <w:pPr>
      <w:pStyle w:val="Sidefod"/>
      <w:tabs>
        <w:tab w:val="left" w:pos="1980" w:leader="none"/>
        <w:tab w:val="center" w:pos="4819" w:leader="none"/>
        <w:tab w:val="right" w:pos="9638" w:leader="none"/>
      </w:tabs>
      <w:rPr/>
    </w:pPr>
    <w:r>
      <w:rPr/>
      <w:t>Ortopædkirurgisk Afdeling, Hospitalsenhed Midt, Viborg</w:t>
    </w:r>
  </w:p>
  <w:p>
    <w:pPr>
      <w:pStyle w:val="Sidefo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b/>
        <w:sz w:val="32"/>
        <w:szCs w:val="32"/>
      </w:rPr>
    </w:pPr>
    <w:r>
      <w:rPr>
        <w:b/>
        <w:sz w:val="32"/>
        <w:szCs w:val="32"/>
      </w:rPr>
      <w:t>HU sektorophold</w:t>
    </w:r>
  </w:p>
  <w:p>
    <w:pPr>
      <w:pStyle w:val="Normal"/>
      <w:jc w:val="center"/>
      <w:rPr>
        <w:b/>
        <w:b/>
        <w:bCs/>
        <w:sz w:val="32"/>
        <w:szCs w:val="32"/>
      </w:rPr>
    </w:pPr>
    <w:r>
      <w:rPr>
        <w:b/>
        <w:bCs/>
        <w:sz w:val="32"/>
        <w:szCs w:val="32"/>
      </w:rPr>
      <w:t>Skulder/Albue sektoren, Ortopædkirurgisk Afdeling</w:t>
    </w:r>
  </w:p>
  <w:p>
    <w:pPr>
      <w:pStyle w:val="Sidehove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Calibri" w:hAnsi="Calibri" w:cs="Calibri"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a-DK"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da-DK" w:val="da-DK"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Besgthyperlink">
    <w:name w:val="FollowedHyperlink"/>
    <w:basedOn w:val="DefaultParagraphFont"/>
    <w:rsid w:val="00eb3d8e"/>
    <w:rPr>
      <w:color w:val="954F72" w:themeColor="followedHyperlink"/>
      <w:u w:val="single"/>
    </w:rPr>
  </w:style>
  <w:style w:type="paragraph" w:styleId="Overskrift">
    <w:name w:val="Overskrift"/>
    <w:basedOn w:val="Normal"/>
    <w:next w:val="Brdtekst"/>
    <w:qFormat/>
    <w:pPr>
      <w:keepNext w:val="true"/>
      <w:spacing w:before="240" w:after="120"/>
    </w:pPr>
    <w:rPr>
      <w:rFonts w:ascii="Verdana" w:hAnsi="Verdana"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ascii="Verdana" w:hAnsi="Verdana" w:cs="Mangal"/>
    </w:rPr>
  </w:style>
  <w:style w:type="paragraph" w:styleId="Billedtekst">
    <w:name w:val="Caption"/>
    <w:basedOn w:val="Normal"/>
    <w:qFormat/>
    <w:pPr>
      <w:suppressLineNumbers/>
      <w:spacing w:before="120" w:after="120"/>
    </w:pPr>
    <w:rPr>
      <w:rFonts w:ascii="Verdana" w:hAnsi="Verdana" w:cs="Lucida Sans"/>
      <w:i/>
      <w:iCs/>
      <w:sz w:val="20"/>
      <w:szCs w:val="24"/>
    </w:rPr>
  </w:style>
  <w:style w:type="paragraph" w:styleId="Indeks" w:customStyle="1">
    <w:name w:val="Indeks"/>
    <w:basedOn w:val="Normal"/>
    <w:qFormat/>
    <w:pPr>
      <w:suppressLineNumbers/>
    </w:pPr>
    <w:rPr>
      <w:rFonts w:ascii="Verdana" w:hAnsi="Verdana" w:cs="Mangal"/>
    </w:rPr>
  </w:style>
  <w:style w:type="paragraph" w:styleId="Stikordsregisteroverskrift">
    <w:name w:val="Index Heading"/>
    <w:basedOn w:val="Overskrift"/>
    <w:pPr/>
    <w:rPr/>
  </w:style>
  <w:style w:type="paragraph" w:styleId="Indholdsfortegnelseoverskrift">
    <w:name w:val="TOC Heading"/>
    <w:basedOn w:val="Normal"/>
    <w:next w:val="Brdtekst"/>
    <w:qFormat/>
    <w:pPr>
      <w:keepNext w:val="true"/>
      <w:spacing w:before="240" w:after="120"/>
    </w:pPr>
    <w:rPr>
      <w:rFonts w:ascii="Verdana" w:hAnsi="Verdana" w:eastAsia="Microsoft YaHei" w:cs="Mangal"/>
      <w:sz w:val="28"/>
      <w:szCs w:val="28"/>
    </w:rPr>
  </w:style>
  <w:style w:type="paragraph" w:styleId="Caption">
    <w:name w:val="caption"/>
    <w:basedOn w:val="Normal"/>
    <w:qFormat/>
    <w:pPr>
      <w:suppressLineNumbers/>
      <w:spacing w:before="120" w:after="120"/>
    </w:pPr>
    <w:rPr>
      <w:rFonts w:ascii="Verdana" w:hAnsi="Verdana" w:cs="Mangal"/>
      <w:i/>
      <w:iCs/>
      <w:sz w:val="20"/>
    </w:rPr>
  </w:style>
  <w:style w:type="paragraph" w:styleId="Sidehovedogsidefod" w:customStyle="1">
    <w:name w:val="Sidehoved og sidefod"/>
    <w:basedOn w:val="Normal"/>
    <w:qFormat/>
    <w:pPr/>
    <w:rPr/>
  </w:style>
  <w:style w:type="paragraph" w:styleId="Sidehoved">
    <w:name w:val="Header"/>
    <w:basedOn w:val="Normal"/>
    <w:rsid w:val="002c1e37"/>
    <w:pPr>
      <w:tabs>
        <w:tab w:val="clear" w:pos="1304"/>
        <w:tab w:val="center" w:pos="4819" w:leader="none"/>
        <w:tab w:val="right" w:pos="9638" w:leader="none"/>
      </w:tabs>
    </w:pPr>
    <w:rPr/>
  </w:style>
  <w:style w:type="paragraph" w:styleId="Sidefod">
    <w:name w:val="Footer"/>
    <w:basedOn w:val="Normal"/>
    <w:rsid w:val="002c1e37"/>
    <w:pPr>
      <w:tabs>
        <w:tab w:val="clear" w:pos="1304"/>
        <w:tab w:val="center" w:pos="4819" w:leader="none"/>
        <w:tab w:val="right" w:pos="9638" w:leader="none"/>
      </w:tabs>
    </w:pPr>
    <w:rPr/>
  </w:style>
  <w:style w:type="paragraph" w:styleId="ListParagraph">
    <w:name w:val="List Paragraph"/>
    <w:basedOn w:val="Normal"/>
    <w:uiPriority w:val="34"/>
    <w:qFormat/>
    <w:pPr>
      <w:spacing w:before="0" w:after="0"/>
      <w:ind w:left="720" w:hanging="0"/>
      <w:contextualSpacing/>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rsid w:val="008753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topaedi.dk/fileadmin/DSSAK/kurser/Skulder_kompendium.pdf" TargetMode="External"/><Relationship Id="rId3" Type="http://schemas.openxmlformats.org/officeDocument/2006/relationships/hyperlink" Target="https://www.sst.dk/da/udgivelser/2021/NKR-subakromielt-smertesyndrom-i-skulderen"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LibreOffice/7.4.7.2$Windows_X86_64 LibreOffice_project/723314e595e8007d3cf785c16538505a1c878ca5</Application>
  <AppVersion>15.0000</AppVersion>
  <Pages>1</Pages>
  <Words>395</Words>
  <Characters>2159</Characters>
  <CharactersWithSpaces>2518</CharactersWithSpaces>
  <Paragraphs>29</Paragraphs>
  <Company>Region Midtjylland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2024-04-18T09:15:00Z</dcterms:created>
  <dc:creator>Michael Toft Væsel</dc:creator>
  <dc:description/>
  <dc:language>da-DK</dc:language>
  <cp:lastModifiedBy>Karl Jöhnk</cp:lastModifiedBy>
  <dcterms:modified xsi:type="dcterms:W3CDTF">2024-04-18T09:15:00Z</dcterms:modified>
  <cp:revision>2</cp:revision>
  <dc:subject/>
  <dc:title>Oversigt over vejledere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